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A185" w14:textId="7991AE42" w:rsidR="008776E4" w:rsidRDefault="008776E4" w:rsidP="008776E4">
      <w:pPr>
        <w:pStyle w:val="Ttulo"/>
        <w:jc w:val="center"/>
        <w:rPr>
          <w:rFonts w:ascii="Helvetica" w:hAnsi="Helvetica"/>
          <w:sz w:val="36"/>
          <w:szCs w:val="36"/>
          <w:lang w:val="es-ES_tradnl"/>
        </w:rPr>
      </w:pPr>
      <w:r w:rsidRPr="00B74288">
        <w:rPr>
          <w:rFonts w:ascii="Helvetica" w:hAnsi="Helvetica"/>
          <w:b/>
          <w:bCs/>
          <w:sz w:val="36"/>
          <w:szCs w:val="36"/>
          <w:lang w:val="es-ES_tradnl"/>
        </w:rPr>
        <w:t>Los tractores agrícolas de más de 30 años siguen trabajando</w:t>
      </w:r>
      <w:r w:rsidRPr="00B74288">
        <w:rPr>
          <w:rFonts w:ascii="Helvetica" w:hAnsi="Helvetica"/>
          <w:sz w:val="36"/>
          <w:szCs w:val="36"/>
          <w:lang w:val="es-ES_tradnl"/>
        </w:rPr>
        <w:t>.</w:t>
      </w:r>
    </w:p>
    <w:p w14:paraId="40EA5A29" w14:textId="77777777" w:rsidR="008776E4" w:rsidRPr="008776E4" w:rsidRDefault="008776E4" w:rsidP="008776E4">
      <w:pPr>
        <w:rPr>
          <w:lang w:val="es-ES_tradnl" w:bidi="ar-SA"/>
        </w:rPr>
      </w:pPr>
    </w:p>
    <w:p w14:paraId="3D622FA7" w14:textId="77777777" w:rsidR="008776E4" w:rsidRPr="00B74288" w:rsidRDefault="008776E4" w:rsidP="008776E4">
      <w:pPr>
        <w:jc w:val="both"/>
        <w:rPr>
          <w:rFonts w:ascii="Helvetica" w:hAnsi="Helvetica"/>
          <w:sz w:val="24"/>
          <w:szCs w:val="24"/>
          <w:lang w:val="es-ES_tradnl"/>
        </w:rPr>
      </w:pPr>
      <w:r w:rsidRPr="00B74288">
        <w:rPr>
          <w:rFonts w:ascii="Helvetica" w:hAnsi="Helvetica"/>
          <w:sz w:val="26"/>
          <w:szCs w:val="26"/>
          <w:lang w:val="es-ES_tradnl"/>
        </w:rPr>
        <w:t>La clasificación como vehículo histórico de tractores agrícolas de más de 30 años es voluntaria, y el parque de 977.664 tractores sigue trabajando</w:t>
      </w:r>
      <w:r w:rsidRPr="00B74288">
        <w:rPr>
          <w:rFonts w:ascii="Helvetica" w:hAnsi="Helvetica"/>
          <w:sz w:val="24"/>
          <w:szCs w:val="24"/>
          <w:lang w:val="es-ES_tradnl"/>
        </w:rPr>
        <w:t>.</w:t>
      </w:r>
    </w:p>
    <w:p w14:paraId="7ACAE651" w14:textId="77777777" w:rsidR="008776E4" w:rsidRPr="00C152A0" w:rsidRDefault="008776E4" w:rsidP="008776E4">
      <w:pPr>
        <w:jc w:val="both"/>
        <w:rPr>
          <w:rFonts w:ascii="Helvetica" w:hAnsi="Helvetica"/>
          <w:sz w:val="21"/>
          <w:szCs w:val="21"/>
          <w:lang w:val="es-ES_tradnl"/>
        </w:rPr>
      </w:pPr>
    </w:p>
    <w:p w14:paraId="54F2AAA9" w14:textId="77777777" w:rsidR="008776E4" w:rsidRPr="00694729" w:rsidRDefault="008776E4" w:rsidP="008776E4">
      <w:pPr>
        <w:tabs>
          <w:tab w:val="num" w:pos="720"/>
        </w:tabs>
        <w:jc w:val="both"/>
        <w:rPr>
          <w:rFonts w:ascii="Helvetica" w:hAnsi="Helvetica"/>
          <w:sz w:val="26"/>
          <w:szCs w:val="26"/>
          <w:lang w:val="es-ES"/>
        </w:rPr>
      </w:pPr>
      <w:r w:rsidRPr="00694729">
        <w:rPr>
          <w:rFonts w:ascii="Helvetica" w:hAnsi="Helvetica"/>
          <w:sz w:val="26"/>
          <w:szCs w:val="26"/>
          <w:lang w:val="es-ES"/>
        </w:rPr>
        <w:t>Hoy se ha publicado en el BOE el Real Decreto 892/2024, de 10 de septiembre, por el que se aprueba el Reglamento de Vehículos Históricos, y en su artículo 20 se establece la prohibición con carácter general de prestar servicio en actividades agrícolas o de obras y servicios.</w:t>
      </w:r>
    </w:p>
    <w:p w14:paraId="7C89EB55" w14:textId="77777777" w:rsidR="008776E4" w:rsidRPr="00694729" w:rsidRDefault="008776E4" w:rsidP="008776E4">
      <w:pPr>
        <w:tabs>
          <w:tab w:val="num" w:pos="720"/>
        </w:tabs>
        <w:jc w:val="both"/>
        <w:rPr>
          <w:rFonts w:ascii="Helvetica" w:hAnsi="Helvetica"/>
          <w:sz w:val="26"/>
          <w:szCs w:val="26"/>
          <w:lang w:val="es-ES"/>
        </w:rPr>
      </w:pPr>
    </w:p>
    <w:p w14:paraId="52162931" w14:textId="77777777" w:rsidR="008776E4" w:rsidRPr="00694729" w:rsidRDefault="008776E4" w:rsidP="008776E4">
      <w:pPr>
        <w:tabs>
          <w:tab w:val="num" w:pos="720"/>
        </w:tabs>
        <w:jc w:val="both"/>
        <w:rPr>
          <w:rFonts w:ascii="Helvetica" w:hAnsi="Helvetica"/>
          <w:sz w:val="26"/>
          <w:szCs w:val="26"/>
          <w:lang w:val="es-ES"/>
        </w:rPr>
      </w:pPr>
      <w:r w:rsidRPr="00694729">
        <w:rPr>
          <w:rFonts w:ascii="Helvetica" w:hAnsi="Helvetica"/>
          <w:sz w:val="26"/>
          <w:szCs w:val="26"/>
          <w:lang w:val="es-ES"/>
        </w:rPr>
        <w:t>La Asociación Nacional de Maquinaria Agropecuaria, Forestal y de Espacios Verdes aclara que no existe ningún tipo de requisito legal que obligue a dar de baja un vehículo agrícola para matricularlo como vehículo histórico, siendo únicamente un procedimiento voluntario vinculado con el interés que tenga el titular del vehículo</w:t>
      </w:r>
      <w:r>
        <w:rPr>
          <w:rFonts w:ascii="Helvetica" w:hAnsi="Helvetica"/>
          <w:sz w:val="26"/>
          <w:szCs w:val="26"/>
          <w:lang w:val="es-ES"/>
        </w:rPr>
        <w:t>, y el merecido descanso que quiera para su tractor</w:t>
      </w:r>
      <w:r w:rsidRPr="00694729">
        <w:rPr>
          <w:rFonts w:ascii="Helvetica" w:hAnsi="Helvetica"/>
          <w:sz w:val="26"/>
          <w:szCs w:val="26"/>
          <w:lang w:val="es-ES"/>
        </w:rPr>
        <w:t>. Además, en el artículo 4 se especifica que un vehículo histórico puede recuperar la situación administrativa que tuvieran con anterioridad a la clasificación como vehículo histórico si dicha situación era la de matriculación ordinaria en España.</w:t>
      </w:r>
    </w:p>
    <w:p w14:paraId="37372CD2" w14:textId="77777777" w:rsidR="008776E4" w:rsidRPr="00694729" w:rsidRDefault="008776E4" w:rsidP="008776E4">
      <w:pPr>
        <w:tabs>
          <w:tab w:val="num" w:pos="720"/>
        </w:tabs>
        <w:jc w:val="both"/>
        <w:rPr>
          <w:rFonts w:ascii="Helvetica" w:hAnsi="Helvetica"/>
          <w:sz w:val="26"/>
          <w:szCs w:val="26"/>
          <w:lang w:val="es-ES"/>
        </w:rPr>
      </w:pPr>
    </w:p>
    <w:p w14:paraId="5ABF3CF8" w14:textId="77777777" w:rsidR="008776E4" w:rsidRPr="00694729" w:rsidRDefault="008776E4" w:rsidP="008776E4">
      <w:pPr>
        <w:tabs>
          <w:tab w:val="num" w:pos="720"/>
        </w:tabs>
        <w:jc w:val="both"/>
        <w:rPr>
          <w:rFonts w:ascii="Helvetica" w:hAnsi="Helvetica"/>
          <w:bCs/>
          <w:sz w:val="26"/>
          <w:szCs w:val="26"/>
          <w:lang w:val="es-ES"/>
        </w:rPr>
      </w:pPr>
      <w:r w:rsidRPr="00694729">
        <w:rPr>
          <w:rFonts w:ascii="Helvetica" w:hAnsi="Helvetica"/>
          <w:bCs/>
          <w:sz w:val="26"/>
          <w:szCs w:val="26"/>
          <w:lang w:val="es-ES"/>
        </w:rPr>
        <w:t>Por lo tanto, los tractores agrícolas y otros vehículos especiales agrícolas pueden prestar servicio en actividades agrícolas con independencia de su edad, estando obviamente sujeto al cumplimiento de los requisitos exigidos en el Real Decreto 920/2017, de 23 de octubre, por el que se regula la inspección técnica de vehículos, y otras normativas de seguridad vial y laboral, tal y como viene sucediendo desde hace décadas en España.</w:t>
      </w:r>
    </w:p>
    <w:p w14:paraId="7592D746" w14:textId="77777777" w:rsidR="008776E4" w:rsidRPr="00694729" w:rsidRDefault="008776E4" w:rsidP="008776E4">
      <w:pPr>
        <w:tabs>
          <w:tab w:val="num" w:pos="720"/>
        </w:tabs>
        <w:jc w:val="both"/>
        <w:rPr>
          <w:rFonts w:ascii="Helvetica" w:hAnsi="Helvetica"/>
          <w:bCs/>
          <w:sz w:val="26"/>
          <w:szCs w:val="26"/>
          <w:lang w:val="es-ES"/>
        </w:rPr>
      </w:pPr>
    </w:p>
    <w:p w14:paraId="1D5988D3" w14:textId="77777777" w:rsidR="008776E4" w:rsidRPr="00694729" w:rsidRDefault="008776E4" w:rsidP="008776E4">
      <w:pPr>
        <w:tabs>
          <w:tab w:val="num" w:pos="720"/>
        </w:tabs>
        <w:jc w:val="both"/>
        <w:rPr>
          <w:rFonts w:ascii="Helvetica" w:hAnsi="Helvetica" w:cs="Helvetica"/>
          <w:color w:val="000000"/>
          <w:spacing w:val="0"/>
          <w:sz w:val="26"/>
          <w:szCs w:val="26"/>
          <w:lang w:val="es-ES_tradnl" w:eastAsia="es-ES_tradnl" w:bidi="ar-SA"/>
        </w:rPr>
      </w:pPr>
      <w:r w:rsidRPr="00694729">
        <w:rPr>
          <w:rFonts w:ascii="Helvetica" w:hAnsi="Helvetica"/>
          <w:bCs/>
          <w:sz w:val="26"/>
          <w:szCs w:val="26"/>
          <w:lang w:val="es-ES"/>
        </w:rPr>
        <w:t xml:space="preserve">Basta recordar que el Real Decreto 448/2020, </w:t>
      </w:r>
      <w:r w:rsidRPr="00694729">
        <w:rPr>
          <w:rFonts w:ascii="Helvetica" w:hAnsi="Helvetica" w:cs="Helvetica"/>
          <w:color w:val="000000"/>
          <w:spacing w:val="0"/>
          <w:sz w:val="26"/>
          <w:szCs w:val="26"/>
          <w:lang w:val="es-ES_tradnl" w:eastAsia="es-ES_tradnl" w:bidi="ar-SA"/>
        </w:rPr>
        <w:t>de 10 de marzo, sobre caracterización y registro de la maquinaria agrícola, únicamente establece la prohibición de baja de tractores agrícolas de más de 40 años de antigüedad para cambio de titular, y precisamente establece que estos tractores puedan pasar a vehículo histórico o de colección, y así se pueda preservar el parque histórico de tractores en España. En ningún caso se establece la prohibición de uso por el titular de los tractores de más de 40 años ni se les obliga a pasar a vehículo histórico.</w:t>
      </w:r>
    </w:p>
    <w:p w14:paraId="0EE2CBD1"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p>
    <w:p w14:paraId="2DB1B724"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p>
    <w:p w14:paraId="15CBABFC"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p>
    <w:p w14:paraId="41919619"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p>
    <w:p w14:paraId="093815BA"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p>
    <w:p w14:paraId="47A62F7A" w14:textId="77777777" w:rsidR="008776E4" w:rsidRPr="00694729" w:rsidRDefault="008776E4" w:rsidP="008776E4">
      <w:pPr>
        <w:tabs>
          <w:tab w:val="num" w:pos="720"/>
        </w:tabs>
        <w:jc w:val="both"/>
        <w:rPr>
          <w:rFonts w:ascii="Helvetica" w:hAnsi="Helvetica" w:cs="Helvetica"/>
          <w:color w:val="000000"/>
          <w:spacing w:val="0"/>
          <w:sz w:val="26"/>
          <w:szCs w:val="26"/>
          <w:lang w:val="es-ES_tradnl" w:eastAsia="es-ES_tradnl" w:bidi="ar-SA"/>
        </w:rPr>
      </w:pPr>
    </w:p>
    <w:p w14:paraId="4D7829EB"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r>
        <w:rPr>
          <w:rFonts w:ascii="Helvetica" w:hAnsi="Helvetica" w:cs="Helvetica"/>
          <w:color w:val="000000"/>
          <w:spacing w:val="0"/>
          <w:sz w:val="26"/>
          <w:szCs w:val="26"/>
          <w:lang w:val="es-ES_tradnl" w:eastAsia="es-ES_tradnl" w:bidi="ar-SA"/>
        </w:rPr>
        <w:t>El mercado de tractores usados de más de 30 años supera en volumen actualmente al mercado de tractores nuevos, con 8710 unidades registradas entre septiembre de 2023 y agosto de 2024, y cuya edad media se sitúa en los 38,3 años (la edad media del mercado de tractores usados es 23,2 años).</w:t>
      </w:r>
    </w:p>
    <w:p w14:paraId="15ED0AF8"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p>
    <w:p w14:paraId="41CA8377"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p>
    <w:p w14:paraId="11224EFD" w14:textId="77777777" w:rsidR="008776E4" w:rsidRPr="00694729" w:rsidRDefault="008776E4" w:rsidP="008776E4">
      <w:pPr>
        <w:tabs>
          <w:tab w:val="num" w:pos="720"/>
        </w:tabs>
        <w:jc w:val="both"/>
        <w:rPr>
          <w:rFonts w:ascii="Helvetica" w:hAnsi="Helvetica"/>
          <w:bCs/>
          <w:sz w:val="26"/>
          <w:szCs w:val="26"/>
          <w:lang w:val="es-ES"/>
        </w:rPr>
      </w:pPr>
      <w:r>
        <w:rPr>
          <w:noProof/>
        </w:rPr>
        <w:drawing>
          <wp:inline distT="0" distB="0" distL="0" distR="0" wp14:anchorId="13E5F215" wp14:editId="7784DE60">
            <wp:extent cx="5805170" cy="3332480"/>
            <wp:effectExtent l="0" t="0" r="0" b="0"/>
            <wp:docPr id="18583758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75876" name=""/>
                    <pic:cNvPicPr/>
                  </pic:nvPicPr>
                  <pic:blipFill>
                    <a:blip r:embed="rId4"/>
                    <a:stretch>
                      <a:fillRect/>
                    </a:stretch>
                  </pic:blipFill>
                  <pic:spPr>
                    <a:xfrm>
                      <a:off x="0" y="0"/>
                      <a:ext cx="5805170" cy="3332480"/>
                    </a:xfrm>
                    <a:prstGeom prst="rect">
                      <a:avLst/>
                    </a:prstGeom>
                  </pic:spPr>
                </pic:pic>
              </a:graphicData>
            </a:graphic>
          </wp:inline>
        </w:drawing>
      </w:r>
    </w:p>
    <w:p w14:paraId="6C3D02D2" w14:textId="77777777" w:rsidR="008776E4" w:rsidRDefault="008776E4" w:rsidP="008776E4">
      <w:pPr>
        <w:tabs>
          <w:tab w:val="num" w:pos="720"/>
        </w:tabs>
        <w:jc w:val="both"/>
        <w:rPr>
          <w:rFonts w:ascii="Helvetica" w:hAnsi="Helvetica"/>
          <w:sz w:val="26"/>
          <w:szCs w:val="26"/>
          <w:lang w:val="es-ES"/>
        </w:rPr>
      </w:pPr>
    </w:p>
    <w:p w14:paraId="7BA213FE" w14:textId="77777777" w:rsidR="008776E4" w:rsidRDefault="008776E4" w:rsidP="008776E4">
      <w:pPr>
        <w:tabs>
          <w:tab w:val="num" w:pos="720"/>
        </w:tabs>
        <w:jc w:val="both"/>
        <w:rPr>
          <w:rFonts w:ascii="Helvetica" w:hAnsi="Helvetica" w:cs="Helvetica"/>
          <w:color w:val="000000"/>
          <w:spacing w:val="0"/>
          <w:sz w:val="26"/>
          <w:szCs w:val="26"/>
          <w:lang w:val="es-ES_tradnl" w:eastAsia="es-ES_tradnl" w:bidi="ar-SA"/>
        </w:rPr>
      </w:pPr>
      <w:r w:rsidRPr="00694729">
        <w:rPr>
          <w:rFonts w:ascii="Helvetica" w:hAnsi="Helvetica" w:cs="Helvetica"/>
          <w:color w:val="000000"/>
          <w:spacing w:val="0"/>
          <w:sz w:val="26"/>
          <w:szCs w:val="26"/>
          <w:lang w:val="es-ES_tradnl" w:eastAsia="es-ES_tradnl" w:bidi="ar-SA"/>
        </w:rPr>
        <w:t xml:space="preserve">El nuevo Reglamento de Vehículos Históricos especifica que </w:t>
      </w:r>
      <w:r w:rsidRPr="00694729">
        <w:rPr>
          <w:rFonts w:ascii="Helvetica" w:hAnsi="Helvetica" w:cs="Helvetica"/>
          <w:i/>
          <w:iCs/>
          <w:color w:val="000000"/>
          <w:spacing w:val="0"/>
          <w:sz w:val="26"/>
          <w:szCs w:val="26"/>
          <w:lang w:val="es-ES_tradnl" w:eastAsia="es-ES_tradnl" w:bidi="ar-SA"/>
        </w:rPr>
        <w:t>el uso de los vehículos históricos tendrá carácter ocasional, con objeto de minimizar su impacto medioambiental, garantizar su adecuada preservación y por motivos de seguridad vial</w:t>
      </w:r>
      <w:r w:rsidRPr="00694729">
        <w:rPr>
          <w:rFonts w:ascii="Helvetica" w:hAnsi="Helvetica" w:cs="Helvetica"/>
          <w:color w:val="000000"/>
          <w:spacing w:val="0"/>
          <w:sz w:val="26"/>
          <w:szCs w:val="26"/>
          <w:lang w:val="es-ES_tradnl" w:eastAsia="es-ES_tradnl" w:bidi="ar-SA"/>
        </w:rPr>
        <w:t>, pero los 977.664 tractores agrícolas que estimaba el Ministerio de Agricultura como parque en uso a diciembre de 2023, pueden seguir prestando servicio en actividades agrícolas como hasta ahora.</w:t>
      </w:r>
    </w:p>
    <w:p w14:paraId="35658E72" w14:textId="77777777" w:rsidR="00C44DEE" w:rsidRDefault="00C44DEE"/>
    <w:sectPr w:rsidR="00C44D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E4"/>
    <w:rsid w:val="002F5399"/>
    <w:rsid w:val="00421AEE"/>
    <w:rsid w:val="00807A52"/>
    <w:rsid w:val="008776E4"/>
    <w:rsid w:val="00C44DEE"/>
    <w:rsid w:val="00D70297"/>
    <w:rsid w:val="00DF012C"/>
    <w:rsid w:val="00F50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A304"/>
  <w15:chartTrackingRefBased/>
  <w15:docId w15:val="{89DEAEEE-6744-4AD7-9211-8BC2792D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E4"/>
    <w:pPr>
      <w:spacing w:after="0" w:line="240" w:lineRule="auto"/>
      <w:ind w:left="835"/>
    </w:pPr>
    <w:rPr>
      <w:rFonts w:ascii="Arial" w:eastAsia="Times New Roman" w:hAnsi="Arial" w:cs="Arial"/>
      <w:spacing w:val="-5"/>
      <w:kern w:val="0"/>
      <w:sz w:val="20"/>
      <w:szCs w:val="20"/>
      <w:lang w:val="en-US" w:bidi="hi-IN"/>
      <w14:ligatures w14:val="none"/>
    </w:rPr>
  </w:style>
  <w:style w:type="paragraph" w:styleId="Ttulo1">
    <w:name w:val="heading 1"/>
    <w:basedOn w:val="Normal"/>
    <w:next w:val="Normal"/>
    <w:link w:val="Ttulo1Car"/>
    <w:uiPriority w:val="9"/>
    <w:qFormat/>
    <w:rsid w:val="008776E4"/>
    <w:pPr>
      <w:keepNext/>
      <w:keepLines/>
      <w:spacing w:before="360" w:after="80" w:line="259" w:lineRule="auto"/>
      <w:ind w:left="0"/>
      <w:outlineLvl w:val="0"/>
    </w:pPr>
    <w:rPr>
      <w:rFonts w:asciiTheme="majorHAnsi" w:eastAsiaTheme="majorEastAsia" w:hAnsiTheme="majorHAnsi" w:cstheme="majorBidi"/>
      <w:color w:val="0F4761" w:themeColor="accent1" w:themeShade="BF"/>
      <w:spacing w:val="0"/>
      <w:kern w:val="2"/>
      <w:sz w:val="40"/>
      <w:szCs w:val="40"/>
      <w:lang w:val="es-ES" w:bidi="ar-SA"/>
      <w14:ligatures w14:val="standardContextual"/>
    </w:rPr>
  </w:style>
  <w:style w:type="paragraph" w:styleId="Ttulo2">
    <w:name w:val="heading 2"/>
    <w:basedOn w:val="Normal"/>
    <w:next w:val="Normal"/>
    <w:link w:val="Ttulo2Car"/>
    <w:uiPriority w:val="9"/>
    <w:semiHidden/>
    <w:unhideWhenUsed/>
    <w:qFormat/>
    <w:rsid w:val="008776E4"/>
    <w:pPr>
      <w:keepNext/>
      <w:keepLines/>
      <w:spacing w:before="160" w:after="80" w:line="259" w:lineRule="auto"/>
      <w:ind w:left="0"/>
      <w:outlineLvl w:val="1"/>
    </w:pPr>
    <w:rPr>
      <w:rFonts w:asciiTheme="majorHAnsi" w:eastAsiaTheme="majorEastAsia" w:hAnsiTheme="majorHAnsi" w:cstheme="majorBidi"/>
      <w:color w:val="0F4761" w:themeColor="accent1" w:themeShade="BF"/>
      <w:spacing w:val="0"/>
      <w:kern w:val="2"/>
      <w:sz w:val="32"/>
      <w:szCs w:val="32"/>
      <w:lang w:val="es-ES" w:bidi="ar-SA"/>
      <w14:ligatures w14:val="standardContextual"/>
    </w:rPr>
  </w:style>
  <w:style w:type="paragraph" w:styleId="Ttulo3">
    <w:name w:val="heading 3"/>
    <w:basedOn w:val="Normal"/>
    <w:next w:val="Normal"/>
    <w:link w:val="Ttulo3Car"/>
    <w:uiPriority w:val="9"/>
    <w:semiHidden/>
    <w:unhideWhenUsed/>
    <w:qFormat/>
    <w:rsid w:val="008776E4"/>
    <w:pPr>
      <w:keepNext/>
      <w:keepLines/>
      <w:spacing w:before="160" w:after="80" w:line="259" w:lineRule="auto"/>
      <w:ind w:left="0"/>
      <w:outlineLvl w:val="2"/>
    </w:pPr>
    <w:rPr>
      <w:rFonts w:asciiTheme="minorHAnsi" w:eastAsiaTheme="majorEastAsia" w:hAnsiTheme="minorHAnsi" w:cstheme="majorBidi"/>
      <w:color w:val="0F4761" w:themeColor="accent1" w:themeShade="BF"/>
      <w:spacing w:val="0"/>
      <w:kern w:val="2"/>
      <w:sz w:val="28"/>
      <w:szCs w:val="28"/>
      <w:lang w:val="es-ES" w:bidi="ar-SA"/>
      <w14:ligatures w14:val="standardContextual"/>
    </w:rPr>
  </w:style>
  <w:style w:type="paragraph" w:styleId="Ttulo4">
    <w:name w:val="heading 4"/>
    <w:basedOn w:val="Normal"/>
    <w:next w:val="Normal"/>
    <w:link w:val="Ttulo4Car"/>
    <w:uiPriority w:val="9"/>
    <w:semiHidden/>
    <w:unhideWhenUsed/>
    <w:qFormat/>
    <w:rsid w:val="008776E4"/>
    <w:pPr>
      <w:keepNext/>
      <w:keepLines/>
      <w:spacing w:before="80" w:after="40" w:line="259" w:lineRule="auto"/>
      <w:ind w:left="0"/>
      <w:outlineLvl w:val="3"/>
    </w:pPr>
    <w:rPr>
      <w:rFonts w:asciiTheme="minorHAnsi" w:eastAsiaTheme="majorEastAsia" w:hAnsiTheme="minorHAnsi" w:cstheme="majorBidi"/>
      <w:i/>
      <w:iCs/>
      <w:color w:val="0F4761" w:themeColor="accent1" w:themeShade="BF"/>
      <w:spacing w:val="0"/>
      <w:kern w:val="2"/>
      <w:sz w:val="22"/>
      <w:szCs w:val="22"/>
      <w:lang w:val="es-ES" w:bidi="ar-SA"/>
      <w14:ligatures w14:val="standardContextual"/>
    </w:rPr>
  </w:style>
  <w:style w:type="paragraph" w:styleId="Ttulo5">
    <w:name w:val="heading 5"/>
    <w:basedOn w:val="Normal"/>
    <w:next w:val="Normal"/>
    <w:link w:val="Ttulo5Car"/>
    <w:uiPriority w:val="9"/>
    <w:semiHidden/>
    <w:unhideWhenUsed/>
    <w:qFormat/>
    <w:rsid w:val="008776E4"/>
    <w:pPr>
      <w:keepNext/>
      <w:keepLines/>
      <w:spacing w:before="80" w:after="40" w:line="259" w:lineRule="auto"/>
      <w:ind w:left="0"/>
      <w:outlineLvl w:val="4"/>
    </w:pPr>
    <w:rPr>
      <w:rFonts w:asciiTheme="minorHAnsi" w:eastAsiaTheme="majorEastAsia" w:hAnsiTheme="minorHAnsi" w:cstheme="majorBidi"/>
      <w:color w:val="0F4761" w:themeColor="accent1" w:themeShade="BF"/>
      <w:spacing w:val="0"/>
      <w:kern w:val="2"/>
      <w:sz w:val="22"/>
      <w:szCs w:val="22"/>
      <w:lang w:val="es-ES" w:bidi="ar-SA"/>
      <w14:ligatures w14:val="standardContextual"/>
    </w:rPr>
  </w:style>
  <w:style w:type="paragraph" w:styleId="Ttulo6">
    <w:name w:val="heading 6"/>
    <w:basedOn w:val="Normal"/>
    <w:next w:val="Normal"/>
    <w:link w:val="Ttulo6Car"/>
    <w:uiPriority w:val="9"/>
    <w:semiHidden/>
    <w:unhideWhenUsed/>
    <w:qFormat/>
    <w:rsid w:val="008776E4"/>
    <w:pPr>
      <w:keepNext/>
      <w:keepLines/>
      <w:spacing w:before="40" w:line="259" w:lineRule="auto"/>
      <w:ind w:left="0"/>
      <w:outlineLvl w:val="5"/>
    </w:pPr>
    <w:rPr>
      <w:rFonts w:asciiTheme="minorHAnsi" w:eastAsiaTheme="majorEastAsia" w:hAnsiTheme="minorHAnsi" w:cstheme="majorBidi"/>
      <w:i/>
      <w:iCs/>
      <w:color w:val="595959" w:themeColor="text1" w:themeTint="A6"/>
      <w:spacing w:val="0"/>
      <w:kern w:val="2"/>
      <w:sz w:val="22"/>
      <w:szCs w:val="22"/>
      <w:lang w:val="es-ES" w:bidi="ar-SA"/>
      <w14:ligatures w14:val="standardContextual"/>
    </w:rPr>
  </w:style>
  <w:style w:type="paragraph" w:styleId="Ttulo7">
    <w:name w:val="heading 7"/>
    <w:basedOn w:val="Normal"/>
    <w:next w:val="Normal"/>
    <w:link w:val="Ttulo7Car"/>
    <w:uiPriority w:val="9"/>
    <w:semiHidden/>
    <w:unhideWhenUsed/>
    <w:qFormat/>
    <w:rsid w:val="008776E4"/>
    <w:pPr>
      <w:keepNext/>
      <w:keepLines/>
      <w:spacing w:before="40" w:line="259" w:lineRule="auto"/>
      <w:ind w:left="0"/>
      <w:outlineLvl w:val="6"/>
    </w:pPr>
    <w:rPr>
      <w:rFonts w:asciiTheme="minorHAnsi" w:eastAsiaTheme="majorEastAsia" w:hAnsiTheme="minorHAnsi" w:cstheme="majorBidi"/>
      <w:color w:val="595959" w:themeColor="text1" w:themeTint="A6"/>
      <w:spacing w:val="0"/>
      <w:kern w:val="2"/>
      <w:sz w:val="22"/>
      <w:szCs w:val="22"/>
      <w:lang w:val="es-ES" w:bidi="ar-SA"/>
      <w14:ligatures w14:val="standardContextual"/>
    </w:rPr>
  </w:style>
  <w:style w:type="paragraph" w:styleId="Ttulo8">
    <w:name w:val="heading 8"/>
    <w:basedOn w:val="Normal"/>
    <w:next w:val="Normal"/>
    <w:link w:val="Ttulo8Car"/>
    <w:uiPriority w:val="9"/>
    <w:semiHidden/>
    <w:unhideWhenUsed/>
    <w:qFormat/>
    <w:rsid w:val="008776E4"/>
    <w:pPr>
      <w:keepNext/>
      <w:keepLines/>
      <w:spacing w:line="259" w:lineRule="auto"/>
      <w:ind w:left="0"/>
      <w:outlineLvl w:val="7"/>
    </w:pPr>
    <w:rPr>
      <w:rFonts w:asciiTheme="minorHAnsi" w:eastAsiaTheme="majorEastAsia" w:hAnsiTheme="minorHAnsi" w:cstheme="majorBidi"/>
      <w:i/>
      <w:iCs/>
      <w:color w:val="272727" w:themeColor="text1" w:themeTint="D8"/>
      <w:spacing w:val="0"/>
      <w:kern w:val="2"/>
      <w:sz w:val="22"/>
      <w:szCs w:val="22"/>
      <w:lang w:val="es-ES" w:bidi="ar-SA"/>
      <w14:ligatures w14:val="standardContextual"/>
    </w:rPr>
  </w:style>
  <w:style w:type="paragraph" w:styleId="Ttulo9">
    <w:name w:val="heading 9"/>
    <w:basedOn w:val="Normal"/>
    <w:next w:val="Normal"/>
    <w:link w:val="Ttulo9Car"/>
    <w:uiPriority w:val="9"/>
    <w:semiHidden/>
    <w:unhideWhenUsed/>
    <w:qFormat/>
    <w:rsid w:val="008776E4"/>
    <w:pPr>
      <w:keepNext/>
      <w:keepLines/>
      <w:spacing w:line="259" w:lineRule="auto"/>
      <w:ind w:left="0"/>
      <w:outlineLvl w:val="8"/>
    </w:pPr>
    <w:rPr>
      <w:rFonts w:asciiTheme="minorHAnsi" w:eastAsiaTheme="majorEastAsia" w:hAnsiTheme="minorHAnsi" w:cstheme="majorBidi"/>
      <w:color w:val="272727" w:themeColor="text1" w:themeTint="D8"/>
      <w:spacing w:val="0"/>
      <w:kern w:val="2"/>
      <w:sz w:val="22"/>
      <w:szCs w:val="22"/>
      <w:lang w:val="es-ES" w:bidi="ar-SA"/>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76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76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76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76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76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76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76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76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76E4"/>
    <w:rPr>
      <w:rFonts w:eastAsiaTheme="majorEastAsia" w:cstheme="majorBidi"/>
      <w:color w:val="272727" w:themeColor="text1" w:themeTint="D8"/>
    </w:rPr>
  </w:style>
  <w:style w:type="paragraph" w:styleId="Ttulo">
    <w:name w:val="Title"/>
    <w:basedOn w:val="Normal"/>
    <w:next w:val="Normal"/>
    <w:link w:val="TtuloCar"/>
    <w:qFormat/>
    <w:rsid w:val="008776E4"/>
    <w:pPr>
      <w:spacing w:after="80"/>
      <w:ind w:left="0"/>
      <w:contextualSpacing/>
    </w:pPr>
    <w:rPr>
      <w:rFonts w:asciiTheme="majorHAnsi" w:eastAsiaTheme="majorEastAsia" w:hAnsiTheme="majorHAnsi" w:cstheme="majorBidi"/>
      <w:spacing w:val="-10"/>
      <w:kern w:val="28"/>
      <w:sz w:val="56"/>
      <w:szCs w:val="56"/>
      <w:lang w:val="es-ES" w:bidi="ar-SA"/>
      <w14:ligatures w14:val="standardContextual"/>
    </w:rPr>
  </w:style>
  <w:style w:type="character" w:customStyle="1" w:styleId="TtuloCar">
    <w:name w:val="Título Car"/>
    <w:basedOn w:val="Fuentedeprrafopredeter"/>
    <w:link w:val="Ttulo"/>
    <w:rsid w:val="008776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76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ES" w:bidi="ar-SA"/>
      <w14:ligatures w14:val="standardContextual"/>
    </w:rPr>
  </w:style>
  <w:style w:type="character" w:customStyle="1" w:styleId="SubttuloCar">
    <w:name w:val="Subtítulo Car"/>
    <w:basedOn w:val="Fuentedeprrafopredeter"/>
    <w:link w:val="Subttulo"/>
    <w:uiPriority w:val="11"/>
    <w:rsid w:val="008776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76E4"/>
    <w:pPr>
      <w:spacing w:before="160" w:after="160" w:line="259" w:lineRule="auto"/>
      <w:ind w:left="0"/>
      <w:jc w:val="center"/>
    </w:pPr>
    <w:rPr>
      <w:rFonts w:asciiTheme="minorHAnsi" w:eastAsiaTheme="minorHAnsi" w:hAnsiTheme="minorHAnsi" w:cstheme="minorBidi"/>
      <w:i/>
      <w:iCs/>
      <w:color w:val="404040" w:themeColor="text1" w:themeTint="BF"/>
      <w:spacing w:val="0"/>
      <w:kern w:val="2"/>
      <w:sz w:val="22"/>
      <w:szCs w:val="22"/>
      <w:lang w:val="es-ES" w:bidi="ar-SA"/>
      <w14:ligatures w14:val="standardContextual"/>
    </w:rPr>
  </w:style>
  <w:style w:type="character" w:customStyle="1" w:styleId="CitaCar">
    <w:name w:val="Cita Car"/>
    <w:basedOn w:val="Fuentedeprrafopredeter"/>
    <w:link w:val="Cita"/>
    <w:uiPriority w:val="29"/>
    <w:rsid w:val="008776E4"/>
    <w:rPr>
      <w:i/>
      <w:iCs/>
      <w:color w:val="404040" w:themeColor="text1" w:themeTint="BF"/>
    </w:rPr>
  </w:style>
  <w:style w:type="paragraph" w:styleId="Prrafodelista">
    <w:name w:val="List Paragraph"/>
    <w:basedOn w:val="Normal"/>
    <w:uiPriority w:val="34"/>
    <w:qFormat/>
    <w:rsid w:val="008776E4"/>
    <w:pPr>
      <w:spacing w:after="160" w:line="259" w:lineRule="auto"/>
      <w:ind w:left="720"/>
      <w:contextualSpacing/>
    </w:pPr>
    <w:rPr>
      <w:rFonts w:asciiTheme="minorHAnsi" w:eastAsiaTheme="minorHAnsi" w:hAnsiTheme="minorHAnsi" w:cstheme="minorBidi"/>
      <w:spacing w:val="0"/>
      <w:kern w:val="2"/>
      <w:sz w:val="22"/>
      <w:szCs w:val="22"/>
      <w:lang w:val="es-ES" w:bidi="ar-SA"/>
      <w14:ligatures w14:val="standardContextual"/>
    </w:rPr>
  </w:style>
  <w:style w:type="character" w:styleId="nfasisintenso">
    <w:name w:val="Intense Emphasis"/>
    <w:basedOn w:val="Fuentedeprrafopredeter"/>
    <w:uiPriority w:val="21"/>
    <w:qFormat/>
    <w:rsid w:val="008776E4"/>
    <w:rPr>
      <w:i/>
      <w:iCs/>
      <w:color w:val="0F4761" w:themeColor="accent1" w:themeShade="BF"/>
    </w:rPr>
  </w:style>
  <w:style w:type="paragraph" w:styleId="Citadestacada">
    <w:name w:val="Intense Quote"/>
    <w:basedOn w:val="Normal"/>
    <w:next w:val="Normal"/>
    <w:link w:val="CitadestacadaCar"/>
    <w:uiPriority w:val="30"/>
    <w:qFormat/>
    <w:rsid w:val="008776E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pacing w:val="0"/>
      <w:kern w:val="2"/>
      <w:sz w:val="22"/>
      <w:szCs w:val="22"/>
      <w:lang w:val="es-ES" w:bidi="ar-SA"/>
      <w14:ligatures w14:val="standardContextual"/>
    </w:rPr>
  </w:style>
  <w:style w:type="character" w:customStyle="1" w:styleId="CitadestacadaCar">
    <w:name w:val="Cita destacada Car"/>
    <w:basedOn w:val="Fuentedeprrafopredeter"/>
    <w:link w:val="Citadestacada"/>
    <w:uiPriority w:val="30"/>
    <w:rsid w:val="008776E4"/>
    <w:rPr>
      <w:i/>
      <w:iCs/>
      <w:color w:val="0F4761" w:themeColor="accent1" w:themeShade="BF"/>
    </w:rPr>
  </w:style>
  <w:style w:type="character" w:styleId="Referenciaintensa">
    <w:name w:val="Intense Reference"/>
    <w:basedOn w:val="Fuentedeprrafopredeter"/>
    <w:uiPriority w:val="32"/>
    <w:qFormat/>
    <w:rsid w:val="008776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2407</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magan martinez</dc:creator>
  <cp:keywords/>
  <dc:description/>
  <cp:lastModifiedBy>lola magan martinez</cp:lastModifiedBy>
  <cp:revision>1</cp:revision>
  <dcterms:created xsi:type="dcterms:W3CDTF">2024-09-19T09:11:00Z</dcterms:created>
  <dcterms:modified xsi:type="dcterms:W3CDTF">2024-09-19T09:12:00Z</dcterms:modified>
</cp:coreProperties>
</file>